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老龄经费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1.159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1.159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1.159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1.159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保障老年人生活质量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Segoe UI" w:hAnsi="Segoe UI" w:eastAsia="Segoe UI" w:cs="Segoe UI"/>
                <w:b w:val="0"/>
                <w:bCs w:val="0"/>
                <w:i w:val="0"/>
                <w:caps w:val="0"/>
                <w:color w:val="000000"/>
                <w:spacing w:val="0"/>
                <w:sz w:val="16"/>
                <w:szCs w:val="16"/>
                <w:shd w:val="clear" w:fill="F5F7FA"/>
              </w:rPr>
              <w:t>90岁以上无保障老人参保补贴人数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结合实际产生的数据按时发放补贴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不超出预算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1.159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发放补贴、提高老年人的生活质量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无保障参保、特困及百岁老人满意度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0D4737C6"/>
    <w:rsid w:val="126662BF"/>
    <w:rsid w:val="25D266FD"/>
    <w:rsid w:val="31A3607E"/>
    <w:rsid w:val="34174DA4"/>
    <w:rsid w:val="52C07D66"/>
    <w:rsid w:val="61900350"/>
    <w:rsid w:val="65673EB2"/>
    <w:rsid w:val="6D076155"/>
    <w:rsid w:val="6F981EFF"/>
    <w:rsid w:val="770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cp:lastPrinted>2025-08-28T01:39:17Z</cp:lastPrinted>
  <dcterms:modified xsi:type="dcterms:W3CDTF">2025-08-28T01:39:21Z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